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hd w:fill="ffffff" w:val="clear"/>
        <w:contextualSpacing w:val="0"/>
        <w:rPr>
          <w:color w:val="222222"/>
          <w:sz w:val="24"/>
          <w:szCs w:val="24"/>
          <w:u w:val="single"/>
        </w:rPr>
      </w:pPr>
      <w:r w:rsidDel="00000000" w:rsidR="00000000" w:rsidRPr="00000000">
        <w:rPr>
          <w:color w:val="222222"/>
          <w:sz w:val="24"/>
          <w:szCs w:val="24"/>
          <w:u w:val="single"/>
          <w:rtl w:val="0"/>
        </w:rPr>
        <w:t xml:space="preserve">Logistics and Process</w:t>
      </w:r>
    </w:p>
    <w:p w:rsidR="00000000" w:rsidDel="00000000" w:rsidP="00000000" w:rsidRDefault="00000000" w:rsidRPr="00000000">
      <w:pPr>
        <w:numPr>
          <w:ilvl w:val="0"/>
          <w:numId w:val="3"/>
        </w:numPr>
        <w:shd w:fill="ffffff" w:val="clear"/>
        <w:ind w:left="720" w:hanging="360"/>
        <w:contextualSpacing w:val="1"/>
        <w:rPr>
          <w:color w:val="222222"/>
          <w:sz w:val="20"/>
          <w:szCs w:val="20"/>
        </w:rPr>
      </w:pPr>
      <w:r w:rsidDel="00000000" w:rsidR="00000000" w:rsidRPr="00000000">
        <w:rPr>
          <w:color w:val="222222"/>
          <w:sz w:val="20"/>
          <w:szCs w:val="20"/>
          <w:rtl w:val="0"/>
        </w:rPr>
        <w:t xml:space="preserve">Report out by December, potentially a memo to make recommendations in this area on how we promote BH prevention and promotion within Early Intervention area.</w:t>
      </w:r>
    </w:p>
    <w:p w:rsidR="00000000" w:rsidDel="00000000" w:rsidP="00000000" w:rsidRDefault="00000000" w:rsidRPr="00000000">
      <w:pPr>
        <w:numPr>
          <w:ilvl w:val="0"/>
          <w:numId w:val="3"/>
        </w:numPr>
        <w:shd w:fill="ffffff" w:val="clear"/>
        <w:ind w:left="720" w:hanging="360"/>
        <w:contextualSpacing w:val="1"/>
        <w:rPr>
          <w:color w:val="222222"/>
          <w:sz w:val="20"/>
          <w:szCs w:val="20"/>
        </w:rPr>
      </w:pPr>
      <w:r w:rsidDel="00000000" w:rsidR="00000000" w:rsidRPr="00000000">
        <w:rPr>
          <w:color w:val="222222"/>
          <w:sz w:val="20"/>
          <w:szCs w:val="20"/>
          <w:rtl w:val="0"/>
        </w:rPr>
        <w:t xml:space="preserve">Be prepared to give updated during regular commission meetings</w:t>
      </w:r>
    </w:p>
    <w:p w:rsidR="00000000" w:rsidDel="00000000" w:rsidP="00000000" w:rsidRDefault="00000000" w:rsidRPr="00000000">
      <w:pPr>
        <w:numPr>
          <w:ilvl w:val="0"/>
          <w:numId w:val="3"/>
        </w:numPr>
        <w:shd w:fill="ffffff" w:val="clear"/>
        <w:ind w:left="720" w:hanging="360"/>
        <w:contextualSpacing w:val="1"/>
        <w:rPr>
          <w:color w:val="222222"/>
          <w:sz w:val="20"/>
          <w:szCs w:val="20"/>
        </w:rPr>
      </w:pPr>
      <w:r w:rsidDel="00000000" w:rsidR="00000000" w:rsidRPr="00000000">
        <w:rPr>
          <w:color w:val="222222"/>
          <w:sz w:val="20"/>
          <w:szCs w:val="20"/>
          <w:rtl w:val="0"/>
        </w:rPr>
        <w:t xml:space="preserve">By late October/Early November: Devote a commission meeting to working groups. Each group would break out and report back to the Commission at the end about what they are working on and brainstorm goals and any opportunities for collaboration.</w:t>
      </w:r>
    </w:p>
    <w:p w:rsidR="00000000" w:rsidDel="00000000" w:rsidP="00000000" w:rsidRDefault="00000000" w:rsidRPr="00000000">
      <w:pPr>
        <w:numPr>
          <w:ilvl w:val="0"/>
          <w:numId w:val="3"/>
        </w:numPr>
        <w:shd w:fill="ffffff" w:val="clear"/>
        <w:ind w:left="720" w:hanging="360"/>
        <w:contextualSpacing w:val="1"/>
        <w:rPr>
          <w:color w:val="222222"/>
          <w:sz w:val="20"/>
          <w:szCs w:val="20"/>
        </w:rPr>
      </w:pPr>
      <w:r w:rsidDel="00000000" w:rsidR="00000000" w:rsidRPr="00000000">
        <w:rPr>
          <w:color w:val="222222"/>
          <w:sz w:val="20"/>
          <w:szCs w:val="20"/>
          <w:rtl w:val="0"/>
        </w:rPr>
        <w:t xml:space="preserve">Meet bi-weekly and/or monthly over phone or in-person</w:t>
      </w:r>
    </w:p>
    <w:p w:rsidR="00000000" w:rsidDel="00000000" w:rsidP="00000000" w:rsidRDefault="00000000" w:rsidRPr="00000000">
      <w:pPr>
        <w:shd w:fill="ffffff" w:val="clear"/>
        <w:contextualSpacing w:val="0"/>
        <w:rPr>
          <w:color w:val="222222"/>
          <w:sz w:val="20"/>
          <w:szCs w:val="20"/>
        </w:rPr>
      </w:pPr>
      <w:r w:rsidDel="00000000" w:rsidR="00000000" w:rsidRPr="00000000">
        <w:rPr>
          <w:rtl w:val="0"/>
        </w:rPr>
      </w:r>
    </w:p>
    <w:p w:rsidR="00000000" w:rsidDel="00000000" w:rsidP="00000000" w:rsidRDefault="00000000" w:rsidRPr="00000000">
      <w:pPr>
        <w:shd w:fill="ffffff" w:val="clear"/>
        <w:contextualSpacing w:val="0"/>
        <w:rPr>
          <w:color w:val="222222"/>
          <w:sz w:val="24"/>
          <w:szCs w:val="24"/>
          <w:u w:val="single"/>
        </w:rPr>
      </w:pPr>
      <w:r w:rsidDel="00000000" w:rsidR="00000000" w:rsidRPr="00000000">
        <w:rPr>
          <w:color w:val="222222"/>
          <w:sz w:val="24"/>
          <w:szCs w:val="24"/>
          <w:u w:val="single"/>
          <w:rtl w:val="0"/>
        </w:rPr>
        <w:t xml:space="preserve">Initial Areas/Thoughts to Explore</w:t>
      </w:r>
    </w:p>
    <w:p w:rsidR="00000000" w:rsidDel="00000000" w:rsidP="00000000" w:rsidRDefault="00000000" w:rsidRPr="00000000">
      <w:pPr>
        <w:numPr>
          <w:ilvl w:val="0"/>
          <w:numId w:val="2"/>
        </w:numPr>
        <w:shd w:fill="ffffff" w:val="clear"/>
        <w:ind w:left="720" w:hanging="360"/>
        <w:contextualSpacing w:val="1"/>
        <w:rPr>
          <w:color w:val="222222"/>
          <w:sz w:val="20"/>
          <w:szCs w:val="20"/>
        </w:rPr>
      </w:pPr>
      <w:r w:rsidDel="00000000" w:rsidR="00000000" w:rsidRPr="00000000">
        <w:rPr>
          <w:color w:val="222222"/>
          <w:sz w:val="20"/>
          <w:szCs w:val="20"/>
          <w:rtl w:val="0"/>
        </w:rPr>
        <w:t xml:space="preserve">Schools integrating services as a context to explore</w:t>
      </w:r>
    </w:p>
    <w:p w:rsidR="00000000" w:rsidDel="00000000" w:rsidP="00000000" w:rsidRDefault="00000000" w:rsidRPr="00000000">
      <w:pPr>
        <w:numPr>
          <w:ilvl w:val="0"/>
          <w:numId w:val="2"/>
        </w:numPr>
        <w:shd w:fill="ffffff" w:val="clear"/>
        <w:ind w:left="720" w:hanging="360"/>
        <w:contextualSpacing w:val="1"/>
        <w:rPr>
          <w:color w:val="222222"/>
          <w:sz w:val="20"/>
          <w:szCs w:val="20"/>
        </w:rPr>
      </w:pPr>
      <w:r w:rsidDel="00000000" w:rsidR="00000000" w:rsidRPr="00000000">
        <w:rPr>
          <w:color w:val="222222"/>
          <w:sz w:val="20"/>
          <w:szCs w:val="20"/>
          <w:rtl w:val="0"/>
        </w:rPr>
        <w:t xml:space="preserve">Keeping people out of hospital and jails, think very broadly</w:t>
      </w:r>
    </w:p>
    <w:p w:rsidR="00000000" w:rsidDel="00000000" w:rsidP="00000000" w:rsidRDefault="00000000" w:rsidRPr="00000000">
      <w:pPr>
        <w:numPr>
          <w:ilvl w:val="0"/>
          <w:numId w:val="2"/>
        </w:numPr>
        <w:shd w:fill="ffffff" w:val="clear"/>
        <w:ind w:left="720" w:hanging="360"/>
        <w:contextualSpacing w:val="1"/>
        <w:rPr>
          <w:rFonts w:ascii="Calibri" w:cs="Calibri" w:eastAsia="Calibri" w:hAnsi="Calibri"/>
          <w:color w:val="222222"/>
          <w:sz w:val="20"/>
          <w:szCs w:val="20"/>
        </w:rPr>
      </w:pPr>
      <w:r w:rsidDel="00000000" w:rsidR="00000000" w:rsidRPr="00000000">
        <w:rPr>
          <w:color w:val="222222"/>
          <w:sz w:val="20"/>
          <w:szCs w:val="20"/>
          <w:rtl w:val="0"/>
        </w:rPr>
        <w:t xml:space="preserve"> </w:t>
      </w:r>
      <w:r w:rsidDel="00000000" w:rsidR="00000000" w:rsidRPr="00000000">
        <w:rPr>
          <w:color w:val="222222"/>
          <w:sz w:val="20"/>
          <w:szCs w:val="20"/>
          <w:rtl w:val="0"/>
        </w:rPr>
        <w:t xml:space="preserve">Inviting other communities, task forces, coalitions to learn more about their processes and whether or not there is any overlap with their current work</w:t>
      </w:r>
    </w:p>
    <w:p w:rsidR="00000000" w:rsidDel="00000000" w:rsidP="00000000" w:rsidRDefault="00000000" w:rsidRPr="00000000">
      <w:pPr>
        <w:shd w:fill="ffffff" w:val="clear"/>
        <w:contextualSpacing w:val="0"/>
        <w:rPr>
          <w:color w:val="222222"/>
          <w:sz w:val="20"/>
          <w:szCs w:val="20"/>
        </w:rPr>
      </w:pPr>
      <w:r w:rsidDel="00000000" w:rsidR="00000000" w:rsidRPr="00000000">
        <w:rPr>
          <w:rtl w:val="0"/>
        </w:rPr>
      </w:r>
    </w:p>
    <w:p w:rsidR="00000000" w:rsidDel="00000000" w:rsidP="00000000" w:rsidRDefault="00000000" w:rsidRPr="00000000">
      <w:pPr>
        <w:shd w:fill="ffffff" w:val="clear"/>
        <w:contextualSpacing w:val="0"/>
        <w:rPr>
          <w:color w:val="222222"/>
          <w:sz w:val="24"/>
          <w:szCs w:val="24"/>
          <w:u w:val="single"/>
        </w:rPr>
      </w:pPr>
      <w:r w:rsidDel="00000000" w:rsidR="00000000" w:rsidRPr="00000000">
        <w:rPr>
          <w:color w:val="222222"/>
          <w:sz w:val="24"/>
          <w:szCs w:val="24"/>
          <w:u w:val="single"/>
          <w:rtl w:val="0"/>
        </w:rPr>
        <w:t xml:space="preserve">What Does EI Mean for Each of US?</w:t>
      </w:r>
    </w:p>
    <w:p w:rsidR="00000000" w:rsidDel="00000000" w:rsidP="00000000" w:rsidRDefault="00000000" w:rsidRPr="00000000">
      <w:pPr>
        <w:numPr>
          <w:ilvl w:val="0"/>
          <w:numId w:val="4"/>
        </w:numPr>
        <w:shd w:fill="ffffff" w:val="clear"/>
        <w:ind w:left="720" w:hanging="360"/>
        <w:contextualSpacing w:val="1"/>
        <w:rPr>
          <w:color w:val="222222"/>
          <w:sz w:val="20"/>
          <w:szCs w:val="20"/>
        </w:rPr>
      </w:pPr>
      <w:r w:rsidDel="00000000" w:rsidR="00000000" w:rsidRPr="00000000">
        <w:rPr>
          <w:color w:val="222222"/>
          <w:sz w:val="20"/>
          <w:szCs w:val="20"/>
          <w:rtl w:val="0"/>
        </w:rPr>
        <w:t xml:space="preserve"> </w:t>
      </w:r>
      <w:r w:rsidDel="00000000" w:rsidR="00000000" w:rsidRPr="00000000">
        <w:rPr>
          <w:color w:val="222222"/>
          <w:sz w:val="20"/>
          <w:szCs w:val="20"/>
          <w:rtl w:val="0"/>
        </w:rPr>
        <w:t xml:space="preserve">Think broadly, intervene at the earliest stages in multiple contexts and areas of interest</w:t>
      </w:r>
    </w:p>
    <w:p w:rsidR="00000000" w:rsidDel="00000000" w:rsidP="00000000" w:rsidRDefault="00000000" w:rsidRPr="00000000">
      <w:pPr>
        <w:numPr>
          <w:ilvl w:val="1"/>
          <w:numId w:val="4"/>
        </w:numPr>
        <w:shd w:fill="ffffff" w:val="clear"/>
        <w:ind w:left="1440" w:hanging="360"/>
        <w:contextualSpacing w:val="1"/>
        <w:rPr>
          <w:color w:val="222222"/>
          <w:sz w:val="20"/>
          <w:szCs w:val="20"/>
        </w:rPr>
      </w:pPr>
      <w:r w:rsidDel="00000000" w:rsidR="00000000" w:rsidRPr="00000000">
        <w:rPr>
          <w:color w:val="222222"/>
          <w:sz w:val="20"/>
          <w:szCs w:val="20"/>
          <w:rtl w:val="0"/>
        </w:rPr>
        <w:t xml:space="preserve">Turn it on its head. Early intervention can be anything that involves interventions that if not otherwise provided, would lead to long-term issues for population</w:t>
      </w:r>
    </w:p>
    <w:p w:rsidR="00000000" w:rsidDel="00000000" w:rsidP="00000000" w:rsidRDefault="00000000" w:rsidRPr="00000000">
      <w:pPr>
        <w:numPr>
          <w:ilvl w:val="0"/>
          <w:numId w:val="4"/>
        </w:numPr>
        <w:shd w:fill="ffffff" w:val="clear"/>
        <w:ind w:left="720" w:hanging="360"/>
        <w:contextualSpacing w:val="1"/>
        <w:rPr>
          <w:color w:val="222222"/>
          <w:sz w:val="20"/>
          <w:szCs w:val="20"/>
        </w:rPr>
      </w:pPr>
      <w:r w:rsidDel="00000000" w:rsidR="00000000" w:rsidRPr="00000000">
        <w:rPr>
          <w:color w:val="222222"/>
          <w:sz w:val="20"/>
          <w:szCs w:val="20"/>
          <w:rtl w:val="0"/>
        </w:rPr>
        <w:t xml:space="preserve">Maternal-child health</w:t>
      </w:r>
    </w:p>
    <w:p w:rsidR="00000000" w:rsidDel="00000000" w:rsidP="00000000" w:rsidRDefault="00000000" w:rsidRPr="00000000">
      <w:pPr>
        <w:numPr>
          <w:ilvl w:val="0"/>
          <w:numId w:val="4"/>
        </w:numPr>
        <w:shd w:fill="ffffff" w:val="clear"/>
        <w:ind w:left="720" w:hanging="360"/>
        <w:contextualSpacing w:val="1"/>
        <w:rPr>
          <w:color w:val="222222"/>
          <w:sz w:val="20"/>
          <w:szCs w:val="20"/>
        </w:rPr>
      </w:pPr>
      <w:r w:rsidDel="00000000" w:rsidR="00000000" w:rsidRPr="00000000">
        <w:rPr>
          <w:color w:val="222222"/>
          <w:sz w:val="20"/>
          <w:szCs w:val="20"/>
          <w:rtl w:val="0"/>
        </w:rPr>
        <w:t xml:space="preserve">Child development and the needs of children</w:t>
      </w:r>
    </w:p>
    <w:p w:rsidR="00000000" w:rsidDel="00000000" w:rsidP="00000000" w:rsidRDefault="00000000" w:rsidRPr="00000000">
      <w:pPr>
        <w:numPr>
          <w:ilvl w:val="0"/>
          <w:numId w:val="4"/>
        </w:numPr>
        <w:shd w:fill="ffffff" w:val="clear"/>
        <w:ind w:left="720" w:hanging="360"/>
        <w:contextualSpacing w:val="1"/>
        <w:rPr>
          <w:color w:val="222222"/>
          <w:sz w:val="20"/>
          <w:szCs w:val="20"/>
        </w:rPr>
      </w:pPr>
      <w:r w:rsidDel="00000000" w:rsidR="00000000" w:rsidRPr="00000000">
        <w:rPr>
          <w:color w:val="222222"/>
          <w:sz w:val="20"/>
          <w:szCs w:val="20"/>
          <w:rtl w:val="0"/>
        </w:rPr>
        <w:t xml:space="preserve">Family and caregiver support and involvement for children to prevent future pathology (i.e. mental health crises and jails)</w:t>
      </w:r>
    </w:p>
    <w:p w:rsidR="00000000" w:rsidDel="00000000" w:rsidP="00000000" w:rsidRDefault="00000000" w:rsidRPr="00000000">
      <w:pPr>
        <w:numPr>
          <w:ilvl w:val="0"/>
          <w:numId w:val="4"/>
        </w:numPr>
        <w:shd w:fill="ffffff" w:val="clear"/>
        <w:ind w:left="720" w:hanging="360"/>
        <w:contextualSpacing w:val="1"/>
        <w:rPr>
          <w:color w:val="222222"/>
          <w:sz w:val="20"/>
          <w:szCs w:val="20"/>
        </w:rPr>
      </w:pPr>
      <w:r w:rsidDel="00000000" w:rsidR="00000000" w:rsidRPr="00000000">
        <w:rPr>
          <w:color w:val="222222"/>
          <w:sz w:val="20"/>
          <w:szCs w:val="20"/>
          <w:rtl w:val="0"/>
        </w:rPr>
        <w:t xml:space="preserve">Focus on social determinants of behavioral health issues and look at interventions or innovative programs to think about resilience, self-regulation and skills to function</w:t>
      </w:r>
    </w:p>
    <w:p w:rsidR="00000000" w:rsidDel="00000000" w:rsidP="00000000" w:rsidRDefault="00000000" w:rsidRPr="00000000">
      <w:pPr>
        <w:numPr>
          <w:ilvl w:val="0"/>
          <w:numId w:val="4"/>
        </w:numPr>
        <w:shd w:fill="ffffff" w:val="clear"/>
        <w:ind w:left="720" w:hanging="360"/>
        <w:contextualSpacing w:val="1"/>
        <w:rPr>
          <w:color w:val="222222"/>
          <w:sz w:val="20"/>
          <w:szCs w:val="20"/>
          <w:u w:val="none"/>
        </w:rPr>
      </w:pPr>
      <w:r w:rsidDel="00000000" w:rsidR="00000000" w:rsidRPr="00000000">
        <w:rPr>
          <w:color w:val="222222"/>
          <w:sz w:val="20"/>
          <w:szCs w:val="20"/>
          <w:rtl w:val="0"/>
        </w:rPr>
        <w:t xml:space="preserve">Primary and Secondary Levels in Public Health Model: do we focus on the entire population or target groups with specific issues</w:t>
      </w:r>
    </w:p>
    <w:p w:rsidR="00000000" w:rsidDel="00000000" w:rsidP="00000000" w:rsidRDefault="00000000" w:rsidRPr="00000000">
      <w:pPr>
        <w:shd w:fill="ffffff" w:val="clear"/>
        <w:contextualSpacing w:val="0"/>
        <w:rPr>
          <w:color w:val="222222"/>
          <w:sz w:val="20"/>
          <w:szCs w:val="20"/>
        </w:rPr>
      </w:pPr>
      <w:r w:rsidDel="00000000" w:rsidR="00000000" w:rsidRPr="00000000">
        <w:rPr>
          <w:rtl w:val="0"/>
        </w:rPr>
      </w:r>
    </w:p>
    <w:p w:rsidR="00000000" w:rsidDel="00000000" w:rsidP="00000000" w:rsidRDefault="00000000" w:rsidRPr="00000000">
      <w:pPr>
        <w:shd w:fill="ffffff" w:val="clear"/>
        <w:contextualSpacing w:val="0"/>
        <w:rPr>
          <w:color w:val="222222"/>
          <w:sz w:val="24"/>
          <w:szCs w:val="24"/>
          <w:u w:val="single"/>
        </w:rPr>
      </w:pPr>
      <w:r w:rsidDel="00000000" w:rsidR="00000000" w:rsidRPr="00000000">
        <w:rPr>
          <w:color w:val="222222"/>
          <w:sz w:val="24"/>
          <w:szCs w:val="24"/>
          <w:u w:val="single"/>
          <w:rtl w:val="0"/>
        </w:rPr>
        <w:t xml:space="preserve">Focus Areas</w:t>
      </w:r>
    </w:p>
    <w:p w:rsidR="00000000" w:rsidDel="00000000" w:rsidP="00000000" w:rsidRDefault="00000000" w:rsidRPr="00000000">
      <w:pPr>
        <w:numPr>
          <w:ilvl w:val="0"/>
          <w:numId w:val="5"/>
        </w:numPr>
        <w:shd w:fill="ffffff" w:val="clear"/>
        <w:ind w:left="720" w:hanging="360"/>
        <w:contextualSpacing w:val="1"/>
        <w:rPr>
          <w:color w:val="222222"/>
          <w:sz w:val="20"/>
          <w:szCs w:val="20"/>
        </w:rPr>
      </w:pPr>
      <w:r w:rsidDel="00000000" w:rsidR="00000000" w:rsidRPr="00000000">
        <w:rPr>
          <w:color w:val="222222"/>
          <w:sz w:val="20"/>
          <w:szCs w:val="20"/>
          <w:rtl w:val="0"/>
        </w:rPr>
        <w:t xml:space="preserve">Focus on children</w:t>
      </w:r>
    </w:p>
    <w:p w:rsidR="00000000" w:rsidDel="00000000" w:rsidP="00000000" w:rsidRDefault="00000000" w:rsidRPr="00000000">
      <w:pPr>
        <w:numPr>
          <w:ilvl w:val="0"/>
          <w:numId w:val="5"/>
        </w:numPr>
        <w:shd w:fill="ffffff" w:val="clear"/>
        <w:ind w:left="720" w:hanging="360"/>
        <w:contextualSpacing w:val="1"/>
        <w:rPr>
          <w:color w:val="222222"/>
          <w:sz w:val="20"/>
          <w:szCs w:val="20"/>
        </w:rPr>
      </w:pPr>
      <w:r w:rsidDel="00000000" w:rsidR="00000000" w:rsidRPr="00000000">
        <w:rPr>
          <w:color w:val="222222"/>
          <w:sz w:val="20"/>
          <w:szCs w:val="20"/>
          <w:rtl w:val="0"/>
        </w:rPr>
        <w:t xml:space="preserve">Focus on schools</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MHLAC sees most clients have been “pushed out” of schools</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Reach out to school reps to check their curriculum to see what works. Ex: Brockton “trauma sensitive” curriculum</w:t>
      </w:r>
    </w:p>
    <w:p w:rsidR="00000000" w:rsidDel="00000000" w:rsidP="00000000" w:rsidRDefault="00000000" w:rsidRPr="00000000">
      <w:pPr>
        <w:numPr>
          <w:ilvl w:val="0"/>
          <w:numId w:val="5"/>
        </w:numPr>
        <w:shd w:fill="ffffff" w:val="clear"/>
        <w:ind w:left="720" w:hanging="360"/>
        <w:contextualSpacing w:val="1"/>
        <w:rPr>
          <w:color w:val="222222"/>
          <w:sz w:val="20"/>
          <w:szCs w:val="20"/>
        </w:rPr>
      </w:pPr>
      <w:r w:rsidDel="00000000" w:rsidR="00000000" w:rsidRPr="00000000">
        <w:rPr>
          <w:color w:val="222222"/>
          <w:sz w:val="20"/>
          <w:szCs w:val="20"/>
          <w:rtl w:val="0"/>
        </w:rPr>
        <w:t xml:space="preserve">Focus on families and caregiver support</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maternal/child development work</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Family caregiver involvement when possible</w:t>
      </w:r>
    </w:p>
    <w:p w:rsidR="00000000" w:rsidDel="00000000" w:rsidP="00000000" w:rsidRDefault="00000000" w:rsidRPr="00000000">
      <w:pPr>
        <w:numPr>
          <w:ilvl w:val="0"/>
          <w:numId w:val="5"/>
        </w:numPr>
        <w:shd w:fill="ffffff" w:val="clear"/>
        <w:ind w:left="720" w:hanging="360"/>
        <w:contextualSpacing w:val="1"/>
        <w:rPr>
          <w:color w:val="222222"/>
          <w:sz w:val="20"/>
          <w:szCs w:val="20"/>
        </w:rPr>
      </w:pPr>
      <w:r w:rsidDel="00000000" w:rsidR="00000000" w:rsidRPr="00000000">
        <w:rPr>
          <w:color w:val="222222"/>
          <w:sz w:val="20"/>
          <w:szCs w:val="20"/>
          <w:rtl w:val="0"/>
        </w:rPr>
        <w:t xml:space="preserve">Focus on changing existing policies or new policies based on current gaps</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find existing policies that can be changed quickly</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identify state agencies that can work together</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“small pockets of change”</w:t>
      </w:r>
    </w:p>
    <w:p w:rsidR="00000000" w:rsidDel="00000000" w:rsidP="00000000" w:rsidRDefault="00000000" w:rsidRPr="00000000">
      <w:pPr>
        <w:numPr>
          <w:ilvl w:val="0"/>
          <w:numId w:val="5"/>
        </w:numPr>
        <w:shd w:fill="ffffff" w:val="clear"/>
        <w:ind w:left="720" w:hanging="360"/>
        <w:contextualSpacing w:val="1"/>
        <w:rPr>
          <w:color w:val="222222"/>
          <w:sz w:val="20"/>
          <w:szCs w:val="20"/>
        </w:rPr>
      </w:pPr>
      <w:r w:rsidDel="00000000" w:rsidR="00000000" w:rsidRPr="00000000">
        <w:rPr>
          <w:color w:val="222222"/>
          <w:sz w:val="20"/>
          <w:szCs w:val="20"/>
          <w:rtl w:val="0"/>
        </w:rPr>
        <w:t xml:space="preserve">Maryanne: recovery support services and early intervention with people in recovery to support prevention in substance use</w:t>
      </w:r>
    </w:p>
    <w:p w:rsidR="00000000" w:rsidDel="00000000" w:rsidP="00000000" w:rsidRDefault="00000000" w:rsidRPr="00000000">
      <w:pPr>
        <w:numPr>
          <w:ilvl w:val="0"/>
          <w:numId w:val="5"/>
        </w:numPr>
        <w:shd w:fill="ffffff" w:val="clear"/>
        <w:ind w:left="720" w:hanging="360"/>
        <w:contextualSpacing w:val="1"/>
        <w:rPr>
          <w:color w:val="222222"/>
          <w:sz w:val="20"/>
          <w:szCs w:val="20"/>
        </w:rPr>
      </w:pPr>
      <w:r w:rsidDel="00000000" w:rsidR="00000000" w:rsidRPr="00000000">
        <w:rPr>
          <w:color w:val="222222"/>
          <w:sz w:val="20"/>
          <w:szCs w:val="20"/>
          <w:rtl w:val="0"/>
        </w:rPr>
        <w:t xml:space="preserve">Phil: Better funding for programs that keep people out of institutions, i.e. bias training, police crisis training</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Overlaps with targeting vulnerable communities</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Intersectional view: which social identities/traits contribute to MH/BH</w:t>
      </w:r>
    </w:p>
    <w:p w:rsidR="00000000" w:rsidDel="00000000" w:rsidP="00000000" w:rsidRDefault="00000000" w:rsidRPr="00000000">
      <w:pPr>
        <w:numPr>
          <w:ilvl w:val="0"/>
          <w:numId w:val="5"/>
        </w:numPr>
        <w:shd w:fill="ffffff" w:val="clear"/>
        <w:ind w:left="720" w:hanging="360"/>
        <w:contextualSpacing w:val="1"/>
        <w:rPr>
          <w:color w:val="222222"/>
          <w:sz w:val="20"/>
          <w:szCs w:val="20"/>
        </w:rPr>
      </w:pPr>
      <w:r w:rsidDel="00000000" w:rsidR="00000000" w:rsidRPr="00000000">
        <w:rPr>
          <w:color w:val="222222"/>
          <w:sz w:val="20"/>
          <w:szCs w:val="20"/>
          <w:rtl w:val="0"/>
        </w:rPr>
        <w:t xml:space="preserve">Susan: Peer support and training for implicit biases i.e. training for police and housing first; working with children on implicit biases early on, so the kids learn to ask for help</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What programs are schools using to teach “self regulation”</w:t>
      </w:r>
    </w:p>
    <w:p w:rsidR="00000000" w:rsidDel="00000000" w:rsidP="00000000" w:rsidRDefault="00000000" w:rsidRPr="00000000">
      <w:pPr>
        <w:numPr>
          <w:ilvl w:val="1"/>
          <w:numId w:val="5"/>
        </w:numPr>
        <w:shd w:fill="ffffff" w:val="clear"/>
        <w:ind w:left="1440" w:hanging="360"/>
        <w:contextualSpacing w:val="1"/>
        <w:rPr>
          <w:color w:val="222222"/>
          <w:sz w:val="20"/>
          <w:szCs w:val="20"/>
        </w:rPr>
      </w:pPr>
      <w:r w:rsidDel="00000000" w:rsidR="00000000" w:rsidRPr="00000000">
        <w:rPr>
          <w:color w:val="222222"/>
          <w:sz w:val="20"/>
          <w:szCs w:val="20"/>
          <w:rtl w:val="0"/>
        </w:rPr>
        <w:t xml:space="preserve">By putting the focus on children it would in turn require support from school and families</w:t>
      </w:r>
    </w:p>
    <w:p w:rsidR="00000000" w:rsidDel="00000000" w:rsidP="00000000" w:rsidRDefault="00000000" w:rsidRPr="00000000">
      <w:pPr>
        <w:numPr>
          <w:ilvl w:val="0"/>
          <w:numId w:val="5"/>
        </w:numPr>
        <w:shd w:fill="ffffff" w:val="clear"/>
        <w:ind w:left="720" w:hanging="360"/>
        <w:contextualSpacing w:val="1"/>
        <w:rPr>
          <w:color w:val="222222"/>
          <w:sz w:val="20"/>
          <w:szCs w:val="20"/>
        </w:rPr>
      </w:pPr>
      <w:r w:rsidDel="00000000" w:rsidR="00000000" w:rsidRPr="00000000">
        <w:rPr>
          <w:color w:val="222222"/>
          <w:sz w:val="20"/>
          <w:szCs w:val="20"/>
          <w:rtl w:val="0"/>
        </w:rPr>
        <w:t xml:space="preserve">Yaminette: Focus on early intervention in areas where social works can optimize their roles and have an impact in, i.e. families, schools, jail</w:t>
      </w:r>
    </w:p>
    <w:p w:rsidR="00000000" w:rsidDel="00000000" w:rsidP="00000000" w:rsidRDefault="00000000" w:rsidRPr="00000000">
      <w:pPr>
        <w:shd w:fill="ffffff" w:val="clear"/>
        <w:contextualSpacing w:val="0"/>
        <w:rPr>
          <w:color w:val="222222"/>
        </w:rPr>
      </w:pPr>
      <w:r w:rsidDel="00000000" w:rsidR="00000000" w:rsidRPr="00000000">
        <w:rPr>
          <w:rtl w:val="0"/>
        </w:rPr>
      </w:r>
    </w:p>
    <w:p w:rsidR="00000000" w:rsidDel="00000000" w:rsidP="00000000" w:rsidRDefault="00000000" w:rsidRPr="00000000">
      <w:pPr>
        <w:shd w:fill="ffffff" w:val="clear"/>
        <w:contextualSpacing w:val="0"/>
        <w:rPr>
          <w:color w:val="222222"/>
          <w:sz w:val="24"/>
          <w:szCs w:val="24"/>
          <w:u w:val="single"/>
        </w:rPr>
      </w:pPr>
      <w:r w:rsidDel="00000000" w:rsidR="00000000" w:rsidRPr="00000000">
        <w:rPr>
          <w:color w:val="222222"/>
          <w:sz w:val="24"/>
          <w:szCs w:val="24"/>
          <w:u w:val="single"/>
          <w:rtl w:val="0"/>
        </w:rPr>
        <w:t xml:space="preserve">Policy Goals</w:t>
      </w:r>
    </w:p>
    <w:p w:rsidR="00000000" w:rsidDel="00000000" w:rsidP="00000000" w:rsidRDefault="00000000" w:rsidRPr="00000000">
      <w:pPr>
        <w:numPr>
          <w:ilvl w:val="0"/>
          <w:numId w:val="6"/>
        </w:numPr>
        <w:shd w:fill="ffffff" w:val="clear"/>
        <w:ind w:left="720" w:hanging="360"/>
        <w:contextualSpacing w:val="1"/>
        <w:rPr>
          <w:color w:val="222222"/>
          <w:sz w:val="20"/>
          <w:szCs w:val="20"/>
        </w:rPr>
      </w:pPr>
      <w:r w:rsidDel="00000000" w:rsidR="00000000" w:rsidRPr="00000000">
        <w:rPr>
          <w:color w:val="222222"/>
          <w:sz w:val="20"/>
          <w:szCs w:val="20"/>
          <w:rtl w:val="0"/>
        </w:rPr>
        <w:t xml:space="preserve">Get rid of “ingrained bad practices”</w:t>
      </w:r>
    </w:p>
    <w:p w:rsidR="00000000" w:rsidDel="00000000" w:rsidP="00000000" w:rsidRDefault="00000000" w:rsidRPr="00000000">
      <w:pPr>
        <w:numPr>
          <w:ilvl w:val="0"/>
          <w:numId w:val="6"/>
        </w:numPr>
        <w:shd w:fill="ffffff" w:val="clear"/>
        <w:ind w:left="720" w:hanging="360"/>
        <w:contextualSpacing w:val="1"/>
        <w:rPr>
          <w:color w:val="222222"/>
          <w:sz w:val="20"/>
          <w:szCs w:val="20"/>
        </w:rPr>
      </w:pPr>
      <w:r w:rsidDel="00000000" w:rsidR="00000000" w:rsidRPr="00000000">
        <w:rPr>
          <w:color w:val="222222"/>
          <w:sz w:val="20"/>
          <w:szCs w:val="20"/>
          <w:rtl w:val="0"/>
        </w:rPr>
        <w:t xml:space="preserve">Overcome the stigma attached to mental and behavioral health: “it’s ok to reach out”</w:t>
      </w:r>
    </w:p>
    <w:p w:rsidR="00000000" w:rsidDel="00000000" w:rsidP="00000000" w:rsidRDefault="00000000" w:rsidRPr="00000000">
      <w:pPr>
        <w:numPr>
          <w:ilvl w:val="0"/>
          <w:numId w:val="6"/>
        </w:numPr>
        <w:shd w:fill="ffffff" w:val="clear"/>
        <w:ind w:left="720" w:hanging="360"/>
        <w:contextualSpacing w:val="1"/>
        <w:rPr>
          <w:color w:val="222222"/>
          <w:sz w:val="20"/>
          <w:szCs w:val="20"/>
        </w:rPr>
      </w:pPr>
      <w:r w:rsidDel="00000000" w:rsidR="00000000" w:rsidRPr="00000000">
        <w:rPr>
          <w:color w:val="222222"/>
          <w:sz w:val="20"/>
          <w:szCs w:val="20"/>
          <w:rtl w:val="0"/>
        </w:rPr>
        <w:t xml:space="preserve">Focus on kids in the context of their families -&gt; supporting family as a whole can lead to early intervention for the child </w:t>
      </w:r>
    </w:p>
    <w:p w:rsidR="00000000" w:rsidDel="00000000" w:rsidP="00000000" w:rsidRDefault="00000000" w:rsidRPr="00000000">
      <w:pPr>
        <w:numPr>
          <w:ilvl w:val="0"/>
          <w:numId w:val="6"/>
        </w:numPr>
        <w:shd w:fill="ffffff" w:val="clear"/>
        <w:ind w:left="720" w:hanging="360"/>
        <w:contextualSpacing w:val="1"/>
        <w:rPr>
          <w:color w:val="222222"/>
          <w:sz w:val="20"/>
          <w:szCs w:val="20"/>
        </w:rPr>
      </w:pPr>
      <w:r w:rsidDel="00000000" w:rsidR="00000000" w:rsidRPr="00000000">
        <w:rPr>
          <w:color w:val="222222"/>
          <w:sz w:val="20"/>
          <w:szCs w:val="20"/>
          <w:rtl w:val="0"/>
        </w:rPr>
        <w:t xml:space="preserve">Find the gaps in current policy and integrate those gaps into a better understanding of what needs to be done</w:t>
      </w:r>
    </w:p>
    <w:p w:rsidR="00000000" w:rsidDel="00000000" w:rsidP="00000000" w:rsidRDefault="00000000" w:rsidRPr="00000000">
      <w:pPr>
        <w:shd w:fill="ffffff" w:val="clear"/>
        <w:contextualSpacing w:val="0"/>
        <w:rPr>
          <w:color w:val="222222"/>
        </w:rPr>
      </w:pPr>
      <w:r w:rsidDel="00000000" w:rsidR="00000000" w:rsidRPr="00000000">
        <w:rPr>
          <w:rtl w:val="0"/>
        </w:rPr>
      </w:r>
    </w:p>
    <w:p w:rsidR="00000000" w:rsidDel="00000000" w:rsidP="00000000" w:rsidRDefault="00000000" w:rsidRPr="00000000">
      <w:pPr>
        <w:shd w:fill="ffffff" w:val="clear"/>
        <w:contextualSpacing w:val="0"/>
        <w:rPr>
          <w:color w:val="222222"/>
          <w:sz w:val="24"/>
          <w:szCs w:val="24"/>
          <w:u w:val="single"/>
        </w:rPr>
      </w:pPr>
      <w:r w:rsidDel="00000000" w:rsidR="00000000" w:rsidRPr="00000000">
        <w:rPr>
          <w:color w:val="222222"/>
          <w:sz w:val="24"/>
          <w:szCs w:val="24"/>
          <w:u w:val="single"/>
          <w:rtl w:val="0"/>
        </w:rPr>
        <w:t xml:space="preserve">Next Steps</w:t>
      </w:r>
    </w:p>
    <w:p w:rsidR="00000000" w:rsidDel="00000000" w:rsidP="00000000" w:rsidRDefault="00000000" w:rsidRPr="00000000">
      <w:pPr>
        <w:numPr>
          <w:ilvl w:val="0"/>
          <w:numId w:val="1"/>
        </w:numPr>
        <w:shd w:fill="ffffff" w:val="clear"/>
        <w:ind w:left="720" w:hanging="360"/>
        <w:contextualSpacing w:val="1"/>
        <w:rPr>
          <w:color w:val="222222"/>
          <w:sz w:val="20"/>
          <w:szCs w:val="20"/>
        </w:rPr>
      </w:pPr>
      <w:r w:rsidDel="00000000" w:rsidR="00000000" w:rsidRPr="00000000">
        <w:rPr>
          <w:color w:val="222222"/>
          <w:sz w:val="20"/>
          <w:szCs w:val="20"/>
          <w:rtl w:val="0"/>
        </w:rPr>
        <w:t xml:space="preserve">Each person to research potential concrete policies where early intervention area can focus</w:t>
      </w:r>
    </w:p>
    <w:p w:rsidR="00000000" w:rsidDel="00000000" w:rsidP="00000000" w:rsidRDefault="00000000" w:rsidRPr="00000000">
      <w:pPr>
        <w:numPr>
          <w:ilvl w:val="0"/>
          <w:numId w:val="1"/>
        </w:numPr>
        <w:shd w:fill="ffffff" w:val="clear"/>
        <w:ind w:left="720" w:hanging="360"/>
        <w:contextualSpacing w:val="1"/>
        <w:rPr>
          <w:color w:val="222222"/>
          <w:sz w:val="20"/>
          <w:szCs w:val="20"/>
        </w:rPr>
      </w:pPr>
      <w:r w:rsidDel="00000000" w:rsidR="00000000" w:rsidRPr="00000000">
        <w:rPr>
          <w:color w:val="222222"/>
          <w:sz w:val="20"/>
          <w:szCs w:val="20"/>
          <w:rtl w:val="0"/>
        </w:rPr>
        <w:t xml:space="preserve">Meet again October 6</w:t>
      </w:r>
      <w:r w:rsidDel="00000000" w:rsidR="00000000" w:rsidRPr="00000000">
        <w:rPr>
          <w:color w:val="222222"/>
          <w:sz w:val="20"/>
          <w:szCs w:val="20"/>
          <w:vertAlign w:val="superscript"/>
          <w:rtl w:val="0"/>
        </w:rPr>
        <w:t xml:space="preserve">th</w:t>
      </w:r>
      <w:r w:rsidDel="00000000" w:rsidR="00000000" w:rsidRPr="00000000">
        <w:rPr>
          <w:color w:val="222222"/>
          <w:sz w:val="20"/>
          <w:szCs w:val="20"/>
          <w:rtl w:val="0"/>
        </w:rPr>
        <w:t xml:space="preserve"> at 1pm</w:t>
      </w:r>
    </w:p>
    <w:p w:rsidR="00000000" w:rsidDel="00000000" w:rsidP="00000000" w:rsidRDefault="00000000" w:rsidRPr="00000000">
      <w:pPr>
        <w:shd w:fill="ffffff" w:val="clear"/>
        <w:contextualSpacing w:val="0"/>
        <w:rPr>
          <w:color w:val="222222"/>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t xml:space="preserve">Subcommittee on Early Intervention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